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B5" w:rsidRPr="00B749C7" w:rsidRDefault="006F74B5" w:rsidP="00B749C7">
      <w:pPr>
        <w:spacing w:line="276" w:lineRule="auto"/>
        <w:ind w:firstLine="709"/>
        <w:jc w:val="center"/>
        <w:rPr>
          <w:rFonts w:ascii="Times New Roman" w:hAnsi="Times New Roman"/>
          <w:i/>
          <w:sz w:val="30"/>
          <w:szCs w:val="30"/>
        </w:rPr>
      </w:pPr>
      <w:r w:rsidRPr="00B749C7">
        <w:rPr>
          <w:rFonts w:ascii="Times New Roman" w:hAnsi="Times New Roman"/>
          <w:i/>
          <w:sz w:val="30"/>
          <w:szCs w:val="30"/>
        </w:rPr>
        <w:t>ЛАБОРАТОРНАЯ РАБОТА №</w:t>
      </w:r>
      <w:r w:rsidR="002334A7">
        <w:rPr>
          <w:rFonts w:ascii="Times New Roman" w:hAnsi="Times New Roman"/>
          <w:i/>
          <w:sz w:val="30"/>
          <w:szCs w:val="30"/>
        </w:rPr>
        <w:t>4</w:t>
      </w:r>
      <w:bookmarkStart w:id="0" w:name="_GoBack"/>
      <w:bookmarkEnd w:id="0"/>
    </w:p>
    <w:p w:rsidR="006F74B5" w:rsidRPr="00B749C7" w:rsidRDefault="006F74B5" w:rsidP="00B749C7">
      <w:pPr>
        <w:pStyle w:val="21"/>
        <w:tabs>
          <w:tab w:val="left" w:pos="-284"/>
        </w:tabs>
        <w:spacing w:line="276" w:lineRule="auto"/>
        <w:ind w:right="0"/>
        <w:rPr>
          <w:caps w:val="0"/>
          <w:szCs w:val="28"/>
        </w:rPr>
      </w:pPr>
      <w:r w:rsidRPr="00B749C7">
        <w:rPr>
          <w:caps w:val="0"/>
          <w:szCs w:val="28"/>
        </w:rPr>
        <w:t xml:space="preserve">ДЕЙСТВИЕ РЕГУЛЯТОРОВ РОСТА РАСТЕНИЙ НА </w:t>
      </w:r>
    </w:p>
    <w:p w:rsidR="006F74B5" w:rsidRPr="00B749C7" w:rsidRDefault="006F74B5" w:rsidP="00B749C7">
      <w:pPr>
        <w:pStyle w:val="21"/>
        <w:tabs>
          <w:tab w:val="left" w:pos="-284"/>
        </w:tabs>
        <w:spacing w:line="276" w:lineRule="auto"/>
        <w:ind w:right="0" w:firstLine="284"/>
        <w:rPr>
          <w:caps w:val="0"/>
          <w:szCs w:val="28"/>
        </w:rPr>
      </w:pPr>
      <w:r w:rsidRPr="00B749C7">
        <w:rPr>
          <w:caps w:val="0"/>
          <w:szCs w:val="28"/>
        </w:rPr>
        <w:t>ПРОРАСТАНИЕ СЕМЯН ОЗИМОЙ ПШЕНИЦЫ</w:t>
      </w:r>
    </w:p>
    <w:p w:rsidR="006F74B5" w:rsidRPr="00B749C7" w:rsidRDefault="006F74B5" w:rsidP="00B749C7">
      <w:pPr>
        <w:pStyle w:val="21"/>
        <w:tabs>
          <w:tab w:val="left" w:pos="0"/>
        </w:tabs>
        <w:spacing w:line="276" w:lineRule="auto"/>
        <w:ind w:right="0" w:firstLine="284"/>
        <w:jc w:val="both"/>
        <w:rPr>
          <w:caps w:val="0"/>
          <w:szCs w:val="28"/>
        </w:rPr>
      </w:pPr>
    </w:p>
    <w:p w:rsidR="006F74B5" w:rsidRPr="00B749C7" w:rsidRDefault="006F74B5" w:rsidP="00B749C7">
      <w:pPr>
        <w:pStyle w:val="a3"/>
        <w:tabs>
          <w:tab w:val="left" w:pos="0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  <w:u w:val="none"/>
        </w:rPr>
      </w:pPr>
      <w:r w:rsidRPr="00B749C7">
        <w:rPr>
          <w:rFonts w:ascii="Times New Roman" w:hAnsi="Times New Roman" w:cs="Times New Roman"/>
          <w:sz w:val="28"/>
          <w:szCs w:val="28"/>
          <w:u w:val="none"/>
        </w:rPr>
        <w:t>Целью работы является изучение действия регуляторов роста: абсцизовая кислота (АБК), гиббереллин (ГК), 2,4-Д, ретардант хлорхолинхлорид (ТУР) – на прорастание семян озимой пшеницы.</w:t>
      </w:r>
    </w:p>
    <w:p w:rsidR="006F74B5" w:rsidRPr="00B749C7" w:rsidRDefault="006F74B5" w:rsidP="00B749C7">
      <w:pPr>
        <w:pStyle w:val="a3"/>
        <w:tabs>
          <w:tab w:val="left" w:pos="0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  <w:u w:val="none"/>
        </w:rPr>
      </w:pPr>
      <w:r w:rsidRPr="00B749C7">
        <w:rPr>
          <w:rFonts w:ascii="Times New Roman" w:hAnsi="Times New Roman" w:cs="Times New Roman"/>
          <w:b/>
          <w:i/>
          <w:sz w:val="28"/>
          <w:szCs w:val="28"/>
          <w:u w:val="none"/>
        </w:rPr>
        <w:t>Абсцизовая кислота</w:t>
      </w:r>
      <w:r w:rsidRPr="00B749C7">
        <w:rPr>
          <w:rFonts w:ascii="Times New Roman" w:hAnsi="Times New Roman" w:cs="Times New Roman"/>
          <w:sz w:val="28"/>
          <w:szCs w:val="28"/>
          <w:u w:val="none"/>
        </w:rPr>
        <w:t xml:space="preserve"> относится к фитогормонам ингибирующего действия. Ее присутствием определяется  физиологический покой в растительных организмах. </w:t>
      </w:r>
      <w:r w:rsidRPr="00B749C7">
        <w:rPr>
          <w:rFonts w:ascii="Times New Roman" w:hAnsi="Times New Roman" w:cs="Times New Roman"/>
          <w:b/>
          <w:i/>
          <w:sz w:val="28"/>
          <w:szCs w:val="28"/>
          <w:u w:val="none"/>
        </w:rPr>
        <w:t>Гиббереллин</w:t>
      </w:r>
      <w:r w:rsidRPr="00B749C7">
        <w:rPr>
          <w:rFonts w:ascii="Times New Roman" w:hAnsi="Times New Roman" w:cs="Times New Roman"/>
          <w:sz w:val="28"/>
          <w:szCs w:val="28"/>
          <w:u w:val="none"/>
        </w:rPr>
        <w:t xml:space="preserve"> – фитогормон стимулирующего действия, определяет линейный рост побегов. 2,4-Д относится к группе ауксинов. </w:t>
      </w:r>
      <w:r w:rsidRPr="00B749C7">
        <w:rPr>
          <w:rFonts w:ascii="Times New Roman" w:hAnsi="Times New Roman" w:cs="Times New Roman"/>
          <w:b/>
          <w:i/>
          <w:sz w:val="28"/>
          <w:szCs w:val="28"/>
          <w:u w:val="none"/>
        </w:rPr>
        <w:t>Хлорхолинхлорид</w:t>
      </w:r>
      <w:r w:rsidRPr="00B749C7">
        <w:rPr>
          <w:rFonts w:ascii="Times New Roman" w:hAnsi="Times New Roman" w:cs="Times New Roman"/>
          <w:sz w:val="28"/>
          <w:szCs w:val="28"/>
          <w:u w:val="none"/>
        </w:rPr>
        <w:t xml:space="preserve"> относится к группе ретардантов (от англ. "укорачивать"), вызывает действие, обратное гиббереллину, которое проявляется в укорачивании побегов.</w:t>
      </w:r>
    </w:p>
    <w:p w:rsidR="006F74B5" w:rsidRPr="00B749C7" w:rsidRDefault="006F74B5" w:rsidP="00B749C7">
      <w:pPr>
        <w:pStyle w:val="a3"/>
        <w:tabs>
          <w:tab w:val="left" w:pos="0"/>
        </w:tabs>
        <w:spacing w:line="276" w:lineRule="auto"/>
        <w:ind w:firstLine="851"/>
        <w:rPr>
          <w:rFonts w:ascii="Times New Roman" w:hAnsi="Times New Roman" w:cs="Times New Roman"/>
          <w:sz w:val="28"/>
          <w:szCs w:val="28"/>
          <w:u w:val="none"/>
        </w:rPr>
      </w:pPr>
      <w:r w:rsidRPr="00B749C7">
        <w:rPr>
          <w:rFonts w:ascii="Times New Roman" w:hAnsi="Times New Roman" w:cs="Times New Roman"/>
          <w:b/>
          <w:i/>
          <w:sz w:val="28"/>
          <w:szCs w:val="28"/>
          <w:u w:val="none"/>
        </w:rPr>
        <w:t>Ход работы</w:t>
      </w:r>
      <w:r w:rsidRPr="00B749C7">
        <w:rPr>
          <w:rFonts w:ascii="Times New Roman" w:hAnsi="Times New Roman" w:cs="Times New Roman"/>
          <w:sz w:val="28"/>
          <w:szCs w:val="28"/>
          <w:u w:val="none"/>
        </w:rPr>
        <w:t xml:space="preserve">. Семена озимой пшеницы, проросшие в асептических условиях, осматриваются, определяется их всхожесть (%), измеряется длина проростков и корней. Данные заносятся в таблицу (табл.1). Полученные результаты анализируются и делаются выводы о действии регуляторов роста на прорастание зерновок озимой пшеницы. </w:t>
      </w:r>
    </w:p>
    <w:p w:rsidR="006F74B5" w:rsidRPr="00B749C7" w:rsidRDefault="006F74B5" w:rsidP="00B749C7">
      <w:pPr>
        <w:pStyle w:val="a3"/>
        <w:tabs>
          <w:tab w:val="left" w:pos="0"/>
        </w:tabs>
        <w:spacing w:line="276" w:lineRule="auto"/>
        <w:ind w:firstLine="851"/>
        <w:rPr>
          <w:rFonts w:ascii="Times New Roman" w:hAnsi="Times New Roman" w:cs="Times New Roman"/>
          <w:caps/>
          <w:sz w:val="22"/>
          <w:szCs w:val="28"/>
          <w:u w:val="none"/>
        </w:rPr>
      </w:pPr>
    </w:p>
    <w:p w:rsidR="006F74B5" w:rsidRPr="00B749C7" w:rsidRDefault="006F74B5" w:rsidP="00B749C7">
      <w:pPr>
        <w:pStyle w:val="21"/>
        <w:tabs>
          <w:tab w:val="left" w:pos="0"/>
        </w:tabs>
        <w:spacing w:line="276" w:lineRule="auto"/>
        <w:ind w:right="0" w:firstLine="851"/>
        <w:rPr>
          <w:b w:val="0"/>
          <w:caps w:val="0"/>
          <w:szCs w:val="28"/>
        </w:rPr>
      </w:pPr>
      <w:r w:rsidRPr="00B749C7">
        <w:rPr>
          <w:b w:val="0"/>
          <w:caps w:val="0"/>
          <w:szCs w:val="28"/>
        </w:rPr>
        <w:t>Т а б л и ц а 1. Влияние регуляторов роста на прорастание семян озимой пшеницы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774"/>
        <w:gridCol w:w="980"/>
        <w:gridCol w:w="1007"/>
        <w:gridCol w:w="992"/>
        <w:gridCol w:w="1134"/>
        <w:gridCol w:w="1276"/>
        <w:gridCol w:w="1134"/>
      </w:tblGrid>
      <w:tr w:rsidR="00B749C7" w:rsidRPr="00B749C7" w:rsidTr="00130CF2">
        <w:trPr>
          <w:jc w:val="center"/>
        </w:trPr>
        <w:tc>
          <w:tcPr>
            <w:tcW w:w="2201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0"/>
              <w:rPr>
                <w:b w:val="0"/>
                <w:caps w:val="0"/>
                <w:szCs w:val="28"/>
              </w:rPr>
            </w:pPr>
            <w:r w:rsidRPr="00B749C7">
              <w:rPr>
                <w:b w:val="0"/>
                <w:caps w:val="0"/>
                <w:szCs w:val="28"/>
              </w:rPr>
              <w:t>Вариант</w:t>
            </w:r>
          </w:p>
        </w:tc>
        <w:tc>
          <w:tcPr>
            <w:tcW w:w="77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left="-96" w:right="-17"/>
              <w:rPr>
                <w:b w:val="0"/>
                <w:caps w:val="0"/>
                <w:szCs w:val="28"/>
              </w:rPr>
            </w:pPr>
            <w:r w:rsidRPr="00B749C7">
              <w:rPr>
                <w:b w:val="0"/>
                <w:caps w:val="0"/>
                <w:szCs w:val="28"/>
              </w:rPr>
              <w:t>Х</w:t>
            </w:r>
            <w:r w:rsidRPr="00B749C7">
              <w:rPr>
                <w:b w:val="0"/>
                <w:caps w:val="0"/>
                <w:szCs w:val="28"/>
                <w:vertAlign w:val="subscript"/>
              </w:rPr>
              <w:t>1</w:t>
            </w:r>
          </w:p>
        </w:tc>
        <w:tc>
          <w:tcPr>
            <w:tcW w:w="980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rPr>
                <w:b w:val="0"/>
                <w:caps w:val="0"/>
                <w:szCs w:val="28"/>
                <w:vertAlign w:val="subscript"/>
              </w:rPr>
            </w:pPr>
            <w:r w:rsidRPr="00B749C7">
              <w:rPr>
                <w:b w:val="0"/>
                <w:caps w:val="0"/>
                <w:szCs w:val="28"/>
              </w:rPr>
              <w:t>Х</w:t>
            </w:r>
            <w:r w:rsidRPr="00B749C7">
              <w:rPr>
                <w:b w:val="0"/>
                <w:caps w:val="0"/>
                <w:szCs w:val="28"/>
                <w:vertAlign w:val="subscript"/>
              </w:rPr>
              <w:t>2</w:t>
            </w:r>
          </w:p>
        </w:tc>
        <w:tc>
          <w:tcPr>
            <w:tcW w:w="1007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rPr>
                <w:b w:val="0"/>
                <w:caps w:val="0"/>
                <w:szCs w:val="28"/>
              </w:rPr>
            </w:pPr>
            <w:r w:rsidRPr="00B749C7">
              <w:rPr>
                <w:b w:val="0"/>
                <w:caps w:val="0"/>
                <w:szCs w:val="28"/>
              </w:rPr>
              <w:t>%</w:t>
            </w:r>
          </w:p>
        </w:tc>
        <w:tc>
          <w:tcPr>
            <w:tcW w:w="992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  <w:tab w:val="left" w:pos="595"/>
              </w:tabs>
              <w:spacing w:line="276" w:lineRule="auto"/>
              <w:ind w:right="-17"/>
              <w:rPr>
                <w:b w:val="0"/>
                <w:caps w:val="0"/>
                <w:szCs w:val="28"/>
              </w:rPr>
            </w:pPr>
            <w:r w:rsidRPr="00B749C7">
              <w:rPr>
                <w:b w:val="0"/>
                <w:caps w:val="0"/>
                <w:szCs w:val="28"/>
              </w:rPr>
              <w:t>Дп</w:t>
            </w:r>
          </w:p>
        </w:tc>
        <w:tc>
          <w:tcPr>
            <w:tcW w:w="113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rPr>
                <w:b w:val="0"/>
                <w:caps w:val="0"/>
                <w:szCs w:val="28"/>
              </w:rPr>
            </w:pPr>
            <w:r w:rsidRPr="00B749C7">
              <w:rPr>
                <w:b w:val="0"/>
                <w:caps w:val="0"/>
                <w:szCs w:val="28"/>
              </w:rPr>
              <w:t>Дк</w:t>
            </w:r>
          </w:p>
        </w:tc>
        <w:tc>
          <w:tcPr>
            <w:tcW w:w="1276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rPr>
                <w:b w:val="0"/>
                <w:caps w:val="0"/>
                <w:szCs w:val="28"/>
              </w:rPr>
            </w:pPr>
            <w:r w:rsidRPr="00B749C7">
              <w:rPr>
                <w:b w:val="0"/>
                <w:caps w:val="0"/>
                <w:szCs w:val="28"/>
              </w:rPr>
              <w:t>Ср. Дп</w:t>
            </w:r>
          </w:p>
        </w:tc>
        <w:tc>
          <w:tcPr>
            <w:tcW w:w="113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rPr>
                <w:b w:val="0"/>
                <w:caps w:val="0"/>
                <w:szCs w:val="28"/>
              </w:rPr>
            </w:pPr>
            <w:r w:rsidRPr="00B749C7">
              <w:rPr>
                <w:b w:val="0"/>
                <w:caps w:val="0"/>
                <w:szCs w:val="28"/>
              </w:rPr>
              <w:t>Ср.Дк</w:t>
            </w:r>
          </w:p>
        </w:tc>
      </w:tr>
      <w:tr w:rsidR="00B749C7" w:rsidRPr="00B749C7" w:rsidTr="00130CF2">
        <w:trPr>
          <w:jc w:val="center"/>
        </w:trPr>
        <w:tc>
          <w:tcPr>
            <w:tcW w:w="2201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left="-96" w:right="-17"/>
              <w:jc w:val="left"/>
              <w:rPr>
                <w:b w:val="0"/>
                <w:caps w:val="0"/>
                <w:szCs w:val="28"/>
              </w:rPr>
            </w:pPr>
            <w:r w:rsidRPr="00B749C7">
              <w:rPr>
                <w:b w:val="0"/>
                <w:caps w:val="0"/>
                <w:szCs w:val="28"/>
              </w:rPr>
              <w:t>Контроль</w:t>
            </w:r>
          </w:p>
        </w:tc>
        <w:tc>
          <w:tcPr>
            <w:tcW w:w="77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left="-96"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980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007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992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13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276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13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</w:tr>
      <w:tr w:rsidR="00B749C7" w:rsidRPr="00B749C7" w:rsidTr="00130CF2">
        <w:trPr>
          <w:jc w:val="center"/>
        </w:trPr>
        <w:tc>
          <w:tcPr>
            <w:tcW w:w="2201" w:type="dxa"/>
          </w:tcPr>
          <w:p w:rsidR="006F74B5" w:rsidRPr="00B749C7" w:rsidRDefault="00130CF2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  <w:r w:rsidRPr="00B749C7">
              <w:rPr>
                <w:b w:val="0"/>
                <w:caps w:val="0"/>
                <w:szCs w:val="28"/>
              </w:rPr>
              <w:t>Г</w:t>
            </w:r>
            <w:r w:rsidR="006F74B5" w:rsidRPr="00B749C7">
              <w:rPr>
                <w:b w:val="0"/>
                <w:caps w:val="0"/>
                <w:szCs w:val="28"/>
              </w:rPr>
              <w:t>К</w:t>
            </w:r>
          </w:p>
        </w:tc>
        <w:tc>
          <w:tcPr>
            <w:tcW w:w="77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left="-96"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980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007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992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13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276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13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</w:tr>
      <w:tr w:rsidR="00B749C7" w:rsidRPr="00B749C7" w:rsidTr="00130CF2">
        <w:trPr>
          <w:jc w:val="center"/>
        </w:trPr>
        <w:tc>
          <w:tcPr>
            <w:tcW w:w="2201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left="-96" w:right="-17"/>
              <w:jc w:val="left"/>
              <w:rPr>
                <w:b w:val="0"/>
                <w:caps w:val="0"/>
                <w:szCs w:val="28"/>
              </w:rPr>
            </w:pPr>
            <w:r w:rsidRPr="00B749C7">
              <w:rPr>
                <w:b w:val="0"/>
                <w:caps w:val="0"/>
                <w:szCs w:val="28"/>
              </w:rPr>
              <w:t>АБК</w:t>
            </w:r>
          </w:p>
        </w:tc>
        <w:tc>
          <w:tcPr>
            <w:tcW w:w="77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left="-96"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980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007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992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13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276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13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</w:tr>
      <w:tr w:rsidR="00B749C7" w:rsidRPr="00B749C7" w:rsidTr="00130CF2">
        <w:trPr>
          <w:jc w:val="center"/>
        </w:trPr>
        <w:tc>
          <w:tcPr>
            <w:tcW w:w="2201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left="-96" w:right="-17"/>
              <w:jc w:val="left"/>
              <w:rPr>
                <w:b w:val="0"/>
                <w:caps w:val="0"/>
                <w:szCs w:val="28"/>
              </w:rPr>
            </w:pPr>
            <w:r w:rsidRPr="00B749C7">
              <w:rPr>
                <w:b w:val="0"/>
                <w:caps w:val="0"/>
                <w:szCs w:val="28"/>
              </w:rPr>
              <w:t>2,4-Д</w:t>
            </w:r>
          </w:p>
        </w:tc>
        <w:tc>
          <w:tcPr>
            <w:tcW w:w="77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left="-96"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980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007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992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13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276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13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</w:tr>
      <w:tr w:rsidR="00B749C7" w:rsidRPr="00B749C7" w:rsidTr="00130CF2">
        <w:trPr>
          <w:jc w:val="center"/>
        </w:trPr>
        <w:tc>
          <w:tcPr>
            <w:tcW w:w="2201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left="-96" w:right="-17"/>
              <w:jc w:val="left"/>
              <w:rPr>
                <w:b w:val="0"/>
                <w:caps w:val="0"/>
                <w:szCs w:val="28"/>
              </w:rPr>
            </w:pPr>
            <w:r w:rsidRPr="00B749C7">
              <w:rPr>
                <w:b w:val="0"/>
                <w:caps w:val="0"/>
                <w:szCs w:val="28"/>
              </w:rPr>
              <w:t>ТУР</w:t>
            </w:r>
          </w:p>
        </w:tc>
        <w:tc>
          <w:tcPr>
            <w:tcW w:w="77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left="-96"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980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007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992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13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276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1134" w:type="dxa"/>
          </w:tcPr>
          <w:p w:rsidR="006F74B5" w:rsidRPr="00B749C7" w:rsidRDefault="006F74B5" w:rsidP="00B749C7">
            <w:pPr>
              <w:pStyle w:val="21"/>
              <w:tabs>
                <w:tab w:val="left" w:pos="0"/>
              </w:tabs>
              <w:spacing w:line="276" w:lineRule="auto"/>
              <w:ind w:right="-17"/>
              <w:jc w:val="left"/>
              <w:rPr>
                <w:b w:val="0"/>
                <w:caps w:val="0"/>
                <w:szCs w:val="28"/>
              </w:rPr>
            </w:pPr>
          </w:p>
        </w:tc>
      </w:tr>
    </w:tbl>
    <w:p w:rsidR="006F74B5" w:rsidRPr="00B749C7" w:rsidRDefault="006F74B5" w:rsidP="00B749C7">
      <w:pPr>
        <w:pStyle w:val="21"/>
        <w:tabs>
          <w:tab w:val="left" w:pos="0"/>
        </w:tabs>
        <w:spacing w:line="276" w:lineRule="auto"/>
        <w:ind w:right="0" w:firstLine="851"/>
        <w:jc w:val="both"/>
        <w:rPr>
          <w:b w:val="0"/>
          <w:caps w:val="0"/>
          <w:szCs w:val="28"/>
        </w:rPr>
      </w:pPr>
      <w:r w:rsidRPr="00B749C7">
        <w:rPr>
          <w:b w:val="0"/>
          <w:caps w:val="0"/>
          <w:szCs w:val="28"/>
        </w:rPr>
        <w:t>П р и м е ч а н и е. Здесь Х</w:t>
      </w:r>
      <w:r w:rsidRPr="00B749C7">
        <w:rPr>
          <w:b w:val="0"/>
          <w:caps w:val="0"/>
          <w:szCs w:val="28"/>
          <w:vertAlign w:val="subscript"/>
        </w:rPr>
        <w:t xml:space="preserve">1 </w:t>
      </w:r>
      <w:r w:rsidRPr="00B749C7">
        <w:rPr>
          <w:b w:val="0"/>
          <w:caps w:val="0"/>
          <w:szCs w:val="28"/>
        </w:rPr>
        <w:t>– количество проросших семян, Х</w:t>
      </w:r>
      <w:r w:rsidRPr="00B749C7">
        <w:rPr>
          <w:b w:val="0"/>
          <w:caps w:val="0"/>
          <w:szCs w:val="28"/>
          <w:vertAlign w:val="subscript"/>
        </w:rPr>
        <w:t>2</w:t>
      </w:r>
      <w:r w:rsidRPr="00B749C7">
        <w:rPr>
          <w:b w:val="0"/>
          <w:caps w:val="0"/>
          <w:szCs w:val="28"/>
        </w:rPr>
        <w:t xml:space="preserve"> – общее количество семян,  % – всхожесть, Дп – общая длина проростков, Дк – общая длина корней, Ср.Дп – средняя длина проростков, Ср.Дк – средняя длина корней.</w:t>
      </w:r>
    </w:p>
    <w:p w:rsidR="006F74B5" w:rsidRPr="00B749C7" w:rsidRDefault="006F74B5" w:rsidP="00B749C7">
      <w:pPr>
        <w:pStyle w:val="21"/>
        <w:tabs>
          <w:tab w:val="left" w:pos="0"/>
        </w:tabs>
        <w:spacing w:line="276" w:lineRule="auto"/>
        <w:ind w:right="0" w:firstLine="851"/>
        <w:jc w:val="both"/>
        <w:rPr>
          <w:b w:val="0"/>
          <w:caps w:val="0"/>
          <w:szCs w:val="28"/>
        </w:rPr>
      </w:pPr>
      <w:r w:rsidRPr="00B749C7">
        <w:rPr>
          <w:b w:val="0"/>
          <w:i/>
          <w:caps w:val="0"/>
          <w:szCs w:val="28"/>
        </w:rPr>
        <w:t>Материалы и оборудование:</w:t>
      </w:r>
      <w:r w:rsidRPr="00B749C7">
        <w:rPr>
          <w:b w:val="0"/>
          <w:caps w:val="0"/>
          <w:szCs w:val="28"/>
        </w:rPr>
        <w:t xml:space="preserve"> чашки Петри с асептически проросшими зерновками озимой пшеницы, линейки, плотная бумага, образцы регуляторов роста.</w:t>
      </w:r>
    </w:p>
    <w:p w:rsidR="00711B49" w:rsidRPr="00B749C7" w:rsidRDefault="006F74B5" w:rsidP="00B749C7">
      <w:pPr>
        <w:pStyle w:val="21"/>
        <w:tabs>
          <w:tab w:val="left" w:pos="-1843"/>
        </w:tabs>
        <w:spacing w:line="276" w:lineRule="auto"/>
        <w:ind w:right="0" w:firstLine="284"/>
        <w:jc w:val="left"/>
      </w:pPr>
      <w:r w:rsidRPr="00B749C7">
        <w:rPr>
          <w:i/>
          <w:caps w:val="0"/>
          <w:szCs w:val="24"/>
        </w:rPr>
        <w:t>Сельскохозяйственная биотехнология:</w:t>
      </w:r>
      <w:r w:rsidRPr="00B749C7">
        <w:rPr>
          <w:b w:val="0"/>
          <w:i/>
          <w:caps w:val="0"/>
          <w:szCs w:val="24"/>
        </w:rPr>
        <w:t xml:space="preserve"> Методические указания/ Белорусская государственная сельскохозяйственная академия; Сост </w:t>
      </w:r>
      <w:r w:rsidRPr="00B749C7">
        <w:rPr>
          <w:b w:val="0"/>
          <w:i/>
          <w:szCs w:val="24"/>
        </w:rPr>
        <w:t xml:space="preserve">А.В. </w:t>
      </w:r>
      <w:r w:rsidRPr="00B749C7">
        <w:rPr>
          <w:b w:val="0"/>
          <w:i/>
          <w:caps w:val="0"/>
          <w:szCs w:val="24"/>
        </w:rPr>
        <w:t>Кильчевский</w:t>
      </w:r>
      <w:r w:rsidRPr="00B749C7">
        <w:rPr>
          <w:b w:val="0"/>
          <w:i/>
          <w:szCs w:val="24"/>
        </w:rPr>
        <w:t xml:space="preserve">, Т.В. </w:t>
      </w:r>
      <w:r w:rsidRPr="00B749C7">
        <w:rPr>
          <w:b w:val="0"/>
          <w:i/>
          <w:caps w:val="0"/>
          <w:szCs w:val="24"/>
        </w:rPr>
        <w:t>Никонович</w:t>
      </w:r>
      <w:r w:rsidRPr="00B749C7">
        <w:rPr>
          <w:b w:val="0"/>
          <w:i/>
          <w:szCs w:val="24"/>
        </w:rPr>
        <w:t xml:space="preserve"> , В.В. </w:t>
      </w:r>
      <w:r w:rsidRPr="00B749C7">
        <w:rPr>
          <w:b w:val="0"/>
          <w:i/>
          <w:caps w:val="0"/>
          <w:szCs w:val="24"/>
        </w:rPr>
        <w:t>Французенок</w:t>
      </w:r>
      <w:r w:rsidRPr="00B749C7">
        <w:rPr>
          <w:b w:val="0"/>
          <w:i/>
          <w:szCs w:val="24"/>
        </w:rPr>
        <w:t xml:space="preserve">, В.В. </w:t>
      </w:r>
      <w:r w:rsidRPr="00B749C7">
        <w:rPr>
          <w:b w:val="0"/>
          <w:i/>
          <w:caps w:val="0"/>
          <w:szCs w:val="24"/>
        </w:rPr>
        <w:t>Ермоленков</w:t>
      </w:r>
      <w:r w:rsidRPr="00B749C7">
        <w:rPr>
          <w:b w:val="0"/>
          <w:i/>
          <w:szCs w:val="24"/>
        </w:rPr>
        <w:t xml:space="preserve">, Е.П. </w:t>
      </w:r>
      <w:r w:rsidRPr="00B749C7">
        <w:rPr>
          <w:b w:val="0"/>
          <w:i/>
          <w:caps w:val="0"/>
          <w:szCs w:val="24"/>
        </w:rPr>
        <w:t>Воробьева. - Горки, 1999.  24 с.</w:t>
      </w:r>
    </w:p>
    <w:sectPr w:rsidR="00711B49" w:rsidRPr="00B7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E"/>
    <w:rsid w:val="00130CF2"/>
    <w:rsid w:val="002334A7"/>
    <w:rsid w:val="002E2990"/>
    <w:rsid w:val="006F74B5"/>
    <w:rsid w:val="00711B49"/>
    <w:rsid w:val="007D5027"/>
    <w:rsid w:val="009A724E"/>
    <w:rsid w:val="00B749C7"/>
    <w:rsid w:val="00D9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B5"/>
    <w:pPr>
      <w:spacing w:after="0" w:line="240" w:lineRule="auto"/>
      <w:ind w:firstLine="720"/>
    </w:pPr>
    <w:rPr>
      <w:rFonts w:ascii="Arial" w:eastAsia="Arial" w:hAnsi="Arial" w:cs="Arial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"/>
    <w:basedOn w:val="a"/>
    <w:link w:val="a4"/>
    <w:semiHidden/>
    <w:rsid w:val="006F74B5"/>
    <w:pPr>
      <w:ind w:firstLine="0"/>
      <w:jc w:val="both"/>
    </w:pPr>
    <w:rPr>
      <w:b w:val="0"/>
      <w:u w:val="single"/>
    </w:rPr>
  </w:style>
  <w:style w:type="character" w:customStyle="1" w:styleId="a4">
    <w:name w:val="Основной текст Знак"/>
    <w:basedOn w:val="a0"/>
    <w:link w:val="a3"/>
    <w:semiHidden/>
    <w:rsid w:val="006F74B5"/>
    <w:rPr>
      <w:rFonts w:ascii="Arial" w:eastAsia="Arial" w:hAnsi="Arial" w:cs="Arial"/>
      <w:sz w:val="24"/>
      <w:szCs w:val="20"/>
      <w:u w:val="single"/>
      <w:lang w:eastAsia="ar-SA"/>
    </w:rPr>
  </w:style>
  <w:style w:type="paragraph" w:customStyle="1" w:styleId="21">
    <w:name w:val="Основной текст 21"/>
    <w:basedOn w:val="a"/>
    <w:rsid w:val="006F74B5"/>
    <w:pPr>
      <w:ind w:right="49" w:firstLine="0"/>
      <w:jc w:val="center"/>
    </w:pPr>
    <w:rPr>
      <w:rFonts w:ascii="Times New Roman" w:eastAsia="Times New Roman" w:hAnsi="Times New Roman" w:cs="Times New Roman"/>
      <w:caps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B5"/>
    <w:pPr>
      <w:spacing w:after="0" w:line="240" w:lineRule="auto"/>
      <w:ind w:firstLine="720"/>
    </w:pPr>
    <w:rPr>
      <w:rFonts w:ascii="Arial" w:eastAsia="Arial" w:hAnsi="Arial" w:cs="Arial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"/>
    <w:basedOn w:val="a"/>
    <w:link w:val="a4"/>
    <w:semiHidden/>
    <w:rsid w:val="006F74B5"/>
    <w:pPr>
      <w:ind w:firstLine="0"/>
      <w:jc w:val="both"/>
    </w:pPr>
    <w:rPr>
      <w:b w:val="0"/>
      <w:u w:val="single"/>
    </w:rPr>
  </w:style>
  <w:style w:type="character" w:customStyle="1" w:styleId="a4">
    <w:name w:val="Основной текст Знак"/>
    <w:basedOn w:val="a0"/>
    <w:link w:val="a3"/>
    <w:semiHidden/>
    <w:rsid w:val="006F74B5"/>
    <w:rPr>
      <w:rFonts w:ascii="Arial" w:eastAsia="Arial" w:hAnsi="Arial" w:cs="Arial"/>
      <w:sz w:val="24"/>
      <w:szCs w:val="20"/>
      <w:u w:val="single"/>
      <w:lang w:eastAsia="ar-SA"/>
    </w:rPr>
  </w:style>
  <w:style w:type="paragraph" w:customStyle="1" w:styleId="21">
    <w:name w:val="Основной текст 21"/>
    <w:basedOn w:val="a"/>
    <w:rsid w:val="006F74B5"/>
    <w:pPr>
      <w:ind w:right="49" w:firstLine="0"/>
      <w:jc w:val="center"/>
    </w:pPr>
    <w:rPr>
      <w:rFonts w:ascii="Times New Roman" w:eastAsia="Times New Roman" w:hAnsi="Times New Roman" w:cs="Times New Roman"/>
      <w:cap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7</cp:revision>
  <cp:lastPrinted>2015-09-23T14:22:00Z</cp:lastPrinted>
  <dcterms:created xsi:type="dcterms:W3CDTF">2015-09-10T11:49:00Z</dcterms:created>
  <dcterms:modified xsi:type="dcterms:W3CDTF">2021-08-23T12:05:00Z</dcterms:modified>
</cp:coreProperties>
</file>